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8CAC8F" w14:textId="77777777" w:rsidR="00131AE3" w:rsidRPr="001B3E75" w:rsidRDefault="00131AE3" w:rsidP="00131AE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Dopilnuj, żeby Twoja inwestycja </w:t>
      </w:r>
      <w:r w:rsidRPr="001B3E7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nie stała się iluzją! </w:t>
      </w:r>
      <w:r w:rsidRPr="001B3E75">
        <w:rPr>
          <w:rFonts w:ascii="Times New Roman" w:hAnsi="Times New Roman" w:cs="Times New Roman"/>
          <w:b/>
          <w:sz w:val="24"/>
          <w:szCs w:val="24"/>
        </w:rPr>
        <w:t>– start kampanii informacyjnej</w:t>
      </w:r>
    </w:p>
    <w:p w14:paraId="4AC4D03A" w14:textId="77777777" w:rsidR="00131AE3" w:rsidRPr="00361891" w:rsidRDefault="00131AE3" w:rsidP="00131AE3">
      <w:pPr>
        <w:pStyle w:val="NormalnyWeb"/>
        <w:shd w:val="clear" w:color="auto" w:fill="FFFFFF"/>
        <w:spacing w:before="0" w:beforeAutospacing="0" w:after="150" w:afterAutospacing="0" w:line="390" w:lineRule="atLeast"/>
        <w:jc w:val="both"/>
        <w:rPr>
          <w:rStyle w:val="Uwydatnienie"/>
        </w:rPr>
      </w:pPr>
      <w:r>
        <w:t xml:space="preserve">W poniedziałek, </w:t>
      </w:r>
      <w:r w:rsidRPr="00361891">
        <w:t xml:space="preserve">18 listopada br. wystartował drugi etap społecznej kampanii informacyjnej mającej na celu </w:t>
      </w:r>
      <w:r w:rsidRPr="00361891">
        <w:rPr>
          <w:bCs/>
        </w:rPr>
        <w:t xml:space="preserve">zwrócenie uwagi na ryzyka związane z inwestowaniem w </w:t>
      </w:r>
      <w:r w:rsidRPr="00361891">
        <w:t>zakup tzw. </w:t>
      </w:r>
      <w:proofErr w:type="spellStart"/>
      <w:r w:rsidRPr="009117C7">
        <w:rPr>
          <w:rStyle w:val="Uwydatnienie"/>
          <w:i w:val="0"/>
        </w:rPr>
        <w:t>condohoteli</w:t>
      </w:r>
      <w:proofErr w:type="spellEnd"/>
      <w:r w:rsidRPr="009117C7">
        <w:rPr>
          <w:rStyle w:val="Uwydatnienie"/>
          <w:i w:val="0"/>
        </w:rPr>
        <w:t>/</w:t>
      </w:r>
      <w:proofErr w:type="spellStart"/>
      <w:r w:rsidRPr="009117C7">
        <w:rPr>
          <w:rStyle w:val="Uwydatnienie"/>
          <w:i w:val="0"/>
        </w:rPr>
        <w:t>aparthoteli</w:t>
      </w:r>
      <w:proofErr w:type="spellEnd"/>
      <w:r>
        <w:rPr>
          <w:rStyle w:val="Uwydatnienie"/>
        </w:rPr>
        <w:t xml:space="preserve">. </w:t>
      </w:r>
      <w:r w:rsidRPr="00361891">
        <w:t xml:space="preserve">Kampania </w:t>
      </w:r>
      <w:r w:rsidRPr="00361891">
        <w:rPr>
          <w:i/>
        </w:rPr>
        <w:t>Oczarowani</w:t>
      </w:r>
      <w:r w:rsidRPr="00361891">
        <w:t xml:space="preserve"> została przygotowana wspólnie przez: Urząd Komisji Nadzoru Finansowego, Urząd Ochrony Konkurencji i Konsumentów oraz Ministerstwo Inwestycji i Rozwoju. </w:t>
      </w:r>
    </w:p>
    <w:p w14:paraId="7B751895" w14:textId="6FAF510E" w:rsidR="00131AE3" w:rsidRPr="001B3E75" w:rsidRDefault="00131AE3" w:rsidP="00131AE3">
      <w:pPr>
        <w:pStyle w:val="NormalnyWeb"/>
        <w:shd w:val="clear" w:color="auto" w:fill="FFFFFF"/>
        <w:spacing w:before="0" w:beforeAutospacing="0" w:after="150" w:afterAutospacing="0" w:line="390" w:lineRule="atLeast"/>
        <w:jc w:val="both"/>
      </w:pPr>
      <w:r w:rsidRPr="001B3E75">
        <w:t xml:space="preserve">Nazwa kampanii </w:t>
      </w:r>
      <w:r w:rsidRPr="00361891">
        <w:rPr>
          <w:i/>
        </w:rPr>
        <w:t>Oczarowani</w:t>
      </w:r>
      <w:r w:rsidRPr="001B3E75">
        <w:t xml:space="preserve"> jest nieprzypadkowa. Określa ona szeroką grupę nieprofesjonalnych </w:t>
      </w:r>
      <w:r w:rsidR="009117C7" w:rsidRPr="001B3E75">
        <w:t>inwestorów</w:t>
      </w:r>
      <w:r w:rsidR="009117C7">
        <w:t>, jak</w:t>
      </w:r>
      <w:r w:rsidR="003179FA">
        <w:t xml:space="preserve"> również konsumentów </w:t>
      </w:r>
      <w:r>
        <w:t>- osoby</w:t>
      </w:r>
      <w:r w:rsidRPr="001B3E75">
        <w:t xml:space="preserve"> poszukują</w:t>
      </w:r>
      <w:r>
        <w:t>ce</w:t>
      </w:r>
      <w:r w:rsidRPr="001B3E75">
        <w:t xml:space="preserve"> atrakcyjnych możliwości inwestycyjnych, </w:t>
      </w:r>
      <w:r>
        <w:t>nieposiadające</w:t>
      </w:r>
      <w:r w:rsidRPr="001B3E75">
        <w:t xml:space="preserve"> jednocześnie niezbędnej wiedzy lub doświadczenia do właściwej oceny dostępnych ofert</w:t>
      </w:r>
      <w:r>
        <w:t xml:space="preserve">. Brak świadomości wielu </w:t>
      </w:r>
      <w:proofErr w:type="spellStart"/>
      <w:r>
        <w:t>ryzyk</w:t>
      </w:r>
      <w:proofErr w:type="spellEnd"/>
      <w:r>
        <w:t xml:space="preserve"> sprawia, że </w:t>
      </w:r>
      <w:r w:rsidR="004F7400">
        <w:t xml:space="preserve">takie osoby </w:t>
      </w:r>
      <w:r w:rsidRPr="001B3E75">
        <w:t>mogą</w:t>
      </w:r>
      <w:r>
        <w:t xml:space="preserve"> one</w:t>
      </w:r>
      <w:r w:rsidRPr="001B3E75">
        <w:t xml:space="preserve"> łatwo zostać „oczarowane” możliwościami uzyskania szybkich </w:t>
      </w:r>
      <w:r w:rsidR="00752613">
        <w:br/>
      </w:r>
      <w:r w:rsidRPr="001B3E75">
        <w:t>i wysokich profitów.</w:t>
      </w:r>
    </w:p>
    <w:p w14:paraId="595C7CC7" w14:textId="77777777" w:rsidR="008C65CF" w:rsidRDefault="008C65CF" w:rsidP="008C65CF">
      <w:pPr>
        <w:pStyle w:val="Bezodstpw"/>
      </w:pPr>
    </w:p>
    <w:p w14:paraId="21117A22" w14:textId="13BD1F0A" w:rsidR="003179FA" w:rsidRPr="008773BB" w:rsidRDefault="00131AE3" w:rsidP="008773BB">
      <w:pPr>
        <w:pStyle w:val="Tekstkomentarz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3BB">
        <w:rPr>
          <w:rFonts w:ascii="Times New Roman" w:hAnsi="Times New Roman" w:cs="Times New Roman"/>
          <w:sz w:val="24"/>
          <w:szCs w:val="24"/>
        </w:rPr>
        <w:t xml:space="preserve">Inwestowanie w </w:t>
      </w:r>
      <w:proofErr w:type="spellStart"/>
      <w:r w:rsidRPr="008773BB">
        <w:rPr>
          <w:rFonts w:ascii="Times New Roman" w:hAnsi="Times New Roman" w:cs="Times New Roman"/>
          <w:sz w:val="24"/>
          <w:szCs w:val="24"/>
        </w:rPr>
        <w:t>condohotele</w:t>
      </w:r>
      <w:proofErr w:type="spellEnd"/>
      <w:r w:rsidRPr="008773B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773BB">
        <w:rPr>
          <w:rFonts w:ascii="Times New Roman" w:hAnsi="Times New Roman" w:cs="Times New Roman"/>
          <w:sz w:val="24"/>
          <w:szCs w:val="24"/>
        </w:rPr>
        <w:t>apartho</w:t>
      </w:r>
      <w:r w:rsidR="009117C7">
        <w:rPr>
          <w:rFonts w:ascii="Times New Roman" w:hAnsi="Times New Roman" w:cs="Times New Roman"/>
          <w:sz w:val="24"/>
          <w:szCs w:val="24"/>
        </w:rPr>
        <w:t>tele</w:t>
      </w:r>
      <w:proofErr w:type="spellEnd"/>
      <w:r w:rsidR="009117C7">
        <w:rPr>
          <w:rFonts w:ascii="Times New Roman" w:hAnsi="Times New Roman" w:cs="Times New Roman"/>
          <w:sz w:val="24"/>
          <w:szCs w:val="24"/>
        </w:rPr>
        <w:t>, czyli głównie apartamenty, pokoje</w:t>
      </w:r>
      <w:r w:rsidRPr="008773BB">
        <w:rPr>
          <w:rFonts w:ascii="Times New Roman" w:hAnsi="Times New Roman" w:cs="Times New Roman"/>
          <w:sz w:val="24"/>
          <w:szCs w:val="24"/>
        </w:rPr>
        <w:t xml:space="preserve"> na wynajem krótkoterminowy, oferowane jest coraz intensywniej</w:t>
      </w:r>
      <w:r w:rsidR="009117C7">
        <w:rPr>
          <w:rFonts w:ascii="Times New Roman" w:hAnsi="Times New Roman" w:cs="Times New Roman"/>
          <w:sz w:val="24"/>
          <w:szCs w:val="24"/>
        </w:rPr>
        <w:t xml:space="preserve"> </w:t>
      </w:r>
      <w:r w:rsidRPr="008773BB">
        <w:rPr>
          <w:rFonts w:ascii="Times New Roman" w:hAnsi="Times New Roman" w:cs="Times New Roman"/>
          <w:sz w:val="24"/>
          <w:szCs w:val="24"/>
        </w:rPr>
        <w:t xml:space="preserve">i z wykorzystaniem różnorodnych form komunikacji. Komunikaty marketingowe, które promują inwestycje w </w:t>
      </w:r>
      <w:proofErr w:type="spellStart"/>
      <w:r w:rsidRPr="009117C7">
        <w:rPr>
          <w:rStyle w:val="Uwydatnienie"/>
          <w:rFonts w:ascii="Times New Roman" w:hAnsi="Times New Roman" w:cs="Times New Roman"/>
          <w:i w:val="0"/>
          <w:sz w:val="24"/>
          <w:szCs w:val="24"/>
        </w:rPr>
        <w:t>condohotele</w:t>
      </w:r>
      <w:proofErr w:type="spellEnd"/>
      <w:r w:rsidRPr="009117C7">
        <w:rPr>
          <w:rStyle w:val="Uwydatnienie"/>
          <w:rFonts w:ascii="Times New Roman" w:hAnsi="Times New Roman" w:cs="Times New Roman"/>
          <w:i w:val="0"/>
          <w:sz w:val="24"/>
          <w:szCs w:val="24"/>
        </w:rPr>
        <w:t>/</w:t>
      </w:r>
      <w:proofErr w:type="spellStart"/>
      <w:r w:rsidRPr="009117C7">
        <w:rPr>
          <w:rStyle w:val="Uwydatnienie"/>
          <w:rFonts w:ascii="Times New Roman" w:hAnsi="Times New Roman" w:cs="Times New Roman"/>
          <w:i w:val="0"/>
          <w:sz w:val="24"/>
          <w:szCs w:val="24"/>
        </w:rPr>
        <w:t>aparthotele</w:t>
      </w:r>
      <w:proofErr w:type="spellEnd"/>
      <w:r w:rsidRPr="008773BB">
        <w:rPr>
          <w:rStyle w:val="Uwydatnienie"/>
          <w:rFonts w:ascii="Times New Roman" w:hAnsi="Times New Roman" w:cs="Times New Roman"/>
          <w:sz w:val="24"/>
          <w:szCs w:val="24"/>
        </w:rPr>
        <w:t>,</w:t>
      </w:r>
      <w:r w:rsidRPr="008773BB">
        <w:rPr>
          <w:rFonts w:ascii="Times New Roman" w:hAnsi="Times New Roman" w:cs="Times New Roman"/>
          <w:sz w:val="24"/>
          <w:szCs w:val="24"/>
        </w:rPr>
        <w:t xml:space="preserve"> często zawierają informacje o bezpieczeństwie lokaty oraz gwarancji osiągnięcia 7 czy nawet 10 procent zysków w skali roku</w:t>
      </w:r>
      <w:r w:rsidR="003179FA" w:rsidRPr="008773BB">
        <w:rPr>
          <w:rFonts w:ascii="Times New Roman" w:hAnsi="Times New Roman" w:cs="Times New Roman"/>
          <w:sz w:val="24"/>
          <w:szCs w:val="24"/>
        </w:rPr>
        <w:t xml:space="preserve"> przez kilka, a nawet w perspektywie 10 lat.</w:t>
      </w:r>
    </w:p>
    <w:p w14:paraId="563D1253" w14:textId="0459EDD6" w:rsidR="00131AE3" w:rsidRPr="001B3E75" w:rsidRDefault="00131AE3" w:rsidP="00131AE3">
      <w:pPr>
        <w:pStyle w:val="NormalnyWeb"/>
        <w:shd w:val="clear" w:color="auto" w:fill="FFFFFF"/>
        <w:spacing w:before="0" w:beforeAutospacing="0" w:after="150" w:afterAutospacing="0" w:line="390" w:lineRule="atLeast"/>
        <w:jc w:val="both"/>
      </w:pPr>
      <w:r w:rsidRPr="009117C7">
        <w:t>Przedstawione</w:t>
      </w:r>
      <w:r w:rsidRPr="001B3E75">
        <w:t xml:space="preserve"> tam obietnice zysku niejednokrotnie</w:t>
      </w:r>
      <w:r>
        <w:t xml:space="preserve"> </w:t>
      </w:r>
      <w:r w:rsidR="00697978" w:rsidRPr="009117C7">
        <w:t>prezentowane</w:t>
      </w:r>
      <w:r w:rsidR="00697978">
        <w:t xml:space="preserve"> </w:t>
      </w:r>
      <w:r>
        <w:t>są ogólnie, przy wykorzystaniu atrakcyjnej szaty graficznej.</w:t>
      </w:r>
      <w:r w:rsidRPr="001B3E75">
        <w:t xml:space="preserve"> </w:t>
      </w:r>
      <w:r w:rsidR="003179FA">
        <w:t>Mogą n</w:t>
      </w:r>
      <w:r w:rsidRPr="001B3E75">
        <w:t>ie uwzględnia</w:t>
      </w:r>
      <w:r w:rsidR="003179FA">
        <w:t>ć</w:t>
      </w:r>
      <w:r>
        <w:t xml:space="preserve"> jednak przy tym</w:t>
      </w:r>
      <w:r w:rsidR="0068320B">
        <w:t xml:space="preserve"> m.in.</w:t>
      </w:r>
      <w:r w:rsidRPr="001B3E75">
        <w:t xml:space="preserve"> konieczności poniesienia kosztów wynikających z posiadania nieruchomości, opłacania stosownych podatków, finansowania remontów </w:t>
      </w:r>
      <w:r>
        <w:t>czy też</w:t>
      </w:r>
      <w:r w:rsidRPr="001B3E75">
        <w:t xml:space="preserve"> braku wpływów ze względu na sezonowość najmu </w:t>
      </w:r>
      <w:r>
        <w:t>lub zwiększoną konkurencję w pobliżu</w:t>
      </w:r>
      <w:r w:rsidRPr="001B3E75">
        <w:t xml:space="preserve">. Inwestorzy decydujący się na zakup tego typu nieruchomości </w:t>
      </w:r>
      <w:r w:rsidR="003179FA">
        <w:t>mogą</w:t>
      </w:r>
      <w:r w:rsidR="003179FA" w:rsidRPr="001B3E75">
        <w:t xml:space="preserve"> </w:t>
      </w:r>
      <w:r w:rsidRPr="001B3E75">
        <w:t>posiłk</w:t>
      </w:r>
      <w:r w:rsidR="003179FA">
        <w:t>ować</w:t>
      </w:r>
      <w:r w:rsidR="009117C7">
        <w:t xml:space="preserve"> </w:t>
      </w:r>
      <w:r w:rsidRPr="001B3E75">
        <w:t xml:space="preserve">się kredytami, co dodatkowo naraża ich na ryzyko finansowe. Może się bowiem okazać, że inwestycja nie tylko nie przyniesie zysków, ale będzie obciążeniem ze względu na konieczność spłaty odsetek kredytu i ponoszenie wydatków </w:t>
      </w:r>
      <w:r w:rsidR="00757F90">
        <w:br/>
      </w:r>
      <w:r w:rsidRPr="001B3E75">
        <w:t>na utrzymanie nieruchomości.</w:t>
      </w:r>
      <w:r w:rsidR="0068320B">
        <w:t xml:space="preserve"> Niezmienne również pozostaje ryzyko nieukończenia inwestycji lub jej zrealizowanie w sposób budzący zastrzeżenia prawne</w:t>
      </w:r>
      <w:r w:rsidR="009117C7">
        <w:t>.</w:t>
      </w:r>
      <w:r w:rsidR="0068320B">
        <w:t xml:space="preserve"> </w:t>
      </w:r>
    </w:p>
    <w:p w14:paraId="7FF4E047" w14:textId="1BA417EF" w:rsidR="00131AE3" w:rsidRDefault="00131AE3" w:rsidP="00131AE3">
      <w:pPr>
        <w:pStyle w:val="NormalnyWeb"/>
        <w:shd w:val="clear" w:color="auto" w:fill="FFFFFF"/>
        <w:spacing w:before="0" w:beforeAutospacing="0" w:after="150" w:afterAutospacing="0" w:line="390" w:lineRule="atLeast"/>
        <w:jc w:val="both"/>
      </w:pPr>
      <w:r w:rsidRPr="003179FA">
        <w:rPr>
          <w:rStyle w:val="Uwydatnienie"/>
          <w:i w:val="0"/>
        </w:rPr>
        <w:t xml:space="preserve">Dostrzegając rosnące zainteresowanie inwestycjami w </w:t>
      </w:r>
      <w:r w:rsidRPr="009117C7">
        <w:t>tzw.</w:t>
      </w:r>
      <w:r w:rsidRPr="003179FA">
        <w:rPr>
          <w:i/>
        </w:rPr>
        <w:t> </w:t>
      </w:r>
      <w:proofErr w:type="spellStart"/>
      <w:r w:rsidRPr="003179FA">
        <w:rPr>
          <w:rStyle w:val="Uwydatnienie"/>
          <w:i w:val="0"/>
        </w:rPr>
        <w:t>condohotele</w:t>
      </w:r>
      <w:proofErr w:type="spellEnd"/>
      <w:r w:rsidRPr="003179FA">
        <w:rPr>
          <w:rStyle w:val="Uwydatnienie"/>
          <w:i w:val="0"/>
        </w:rPr>
        <w:t>/</w:t>
      </w:r>
      <w:proofErr w:type="spellStart"/>
      <w:r w:rsidRPr="003179FA">
        <w:rPr>
          <w:rStyle w:val="Uwydatnienie"/>
          <w:i w:val="0"/>
        </w:rPr>
        <w:t>aparthotele</w:t>
      </w:r>
      <w:proofErr w:type="spellEnd"/>
      <w:r w:rsidRPr="003179FA">
        <w:rPr>
          <w:rStyle w:val="Uwydatnienie"/>
          <w:i w:val="0"/>
        </w:rPr>
        <w:t>, trzy</w:t>
      </w:r>
      <w:r w:rsidRPr="003179FA">
        <w:rPr>
          <w:i/>
        </w:rPr>
        <w:t xml:space="preserve"> </w:t>
      </w:r>
      <w:r w:rsidRPr="002835B2">
        <w:rPr>
          <w:rStyle w:val="Uwydatnienie"/>
          <w:i w:val="0"/>
        </w:rPr>
        <w:t>instytucje publiczne</w:t>
      </w:r>
      <w:r w:rsidRPr="003179FA">
        <w:rPr>
          <w:i/>
        </w:rPr>
        <w:t xml:space="preserve"> </w:t>
      </w:r>
      <w:r w:rsidRPr="002835B2">
        <w:rPr>
          <w:rStyle w:val="Uwydatnienie"/>
          <w:i w:val="0"/>
        </w:rPr>
        <w:t>współtworzące kampanię</w:t>
      </w:r>
      <w:r w:rsidRPr="001B3E75">
        <w:rPr>
          <w:rStyle w:val="Uwydatnienie"/>
        </w:rPr>
        <w:t xml:space="preserve"> </w:t>
      </w:r>
      <w:r>
        <w:t>zdecydowały się rozszerzyć skalę i zasięg działań informacyjnych. Opublikowane 2</w:t>
      </w:r>
      <w:r w:rsidR="00BE17E1">
        <w:t xml:space="preserve">6 września br. komunikaty UKNF </w:t>
      </w:r>
      <w:r>
        <w:t xml:space="preserve">i UOKiK spotkały się z pozytywnym odbiorem, a działania urzędów były szeroko komentowane. Wobec </w:t>
      </w:r>
      <w:r w:rsidR="003179FA">
        <w:t>zwiększ</w:t>
      </w:r>
      <w:r w:rsidR="008773BB">
        <w:t>o</w:t>
      </w:r>
      <w:r w:rsidR="003179FA">
        <w:t>nego</w:t>
      </w:r>
      <w:r>
        <w:t xml:space="preserve"> </w:t>
      </w:r>
      <w:r w:rsidR="003179FA">
        <w:t xml:space="preserve">zainteresowania </w:t>
      </w:r>
      <w:r>
        <w:t xml:space="preserve">inwestowaniem w </w:t>
      </w:r>
      <w:proofErr w:type="spellStart"/>
      <w:r w:rsidRPr="009117C7">
        <w:rPr>
          <w:rStyle w:val="Uwydatnienie"/>
          <w:i w:val="0"/>
        </w:rPr>
        <w:t>condohotele</w:t>
      </w:r>
      <w:proofErr w:type="spellEnd"/>
      <w:r w:rsidRPr="009117C7">
        <w:rPr>
          <w:rStyle w:val="Uwydatnienie"/>
          <w:i w:val="0"/>
        </w:rPr>
        <w:t>/</w:t>
      </w:r>
      <w:proofErr w:type="spellStart"/>
      <w:r w:rsidRPr="009117C7">
        <w:rPr>
          <w:rStyle w:val="Uwydatnienie"/>
          <w:i w:val="0"/>
        </w:rPr>
        <w:t>aparthotele</w:t>
      </w:r>
      <w:proofErr w:type="spellEnd"/>
      <w:r>
        <w:t xml:space="preserve"> </w:t>
      </w:r>
      <w:r w:rsidR="00BE17E1">
        <w:t xml:space="preserve">UKNF, UOKiK </w:t>
      </w:r>
      <w:r w:rsidR="00BE17E1">
        <w:br/>
      </w:r>
      <w:r w:rsidR="00BE17E1">
        <w:lastRenderedPageBreak/>
        <w:t xml:space="preserve">i </w:t>
      </w:r>
      <w:proofErr w:type="spellStart"/>
      <w:r w:rsidR="00BE17E1">
        <w:t>MIiR</w:t>
      </w:r>
      <w:proofErr w:type="spellEnd"/>
      <w:r w:rsidR="003179FA">
        <w:t xml:space="preserve"> zdecydowały </w:t>
      </w:r>
      <w:r>
        <w:t xml:space="preserve">się zwiększyć aktywność upowszechniania wśród obywateli wiedzy </w:t>
      </w:r>
      <w:r w:rsidR="00BE17E1">
        <w:br/>
      </w:r>
      <w:bookmarkStart w:id="0" w:name="_GoBack"/>
      <w:bookmarkEnd w:id="0"/>
      <w:r>
        <w:t>o istniejących ryzykach związanych z</w:t>
      </w:r>
      <w:r w:rsidR="003179FA">
        <w:t xml:space="preserve"> tymi</w:t>
      </w:r>
      <w:r>
        <w:t xml:space="preserve"> inwestycjami</w:t>
      </w:r>
      <w:r>
        <w:rPr>
          <w:rStyle w:val="Uwydatnienie"/>
        </w:rPr>
        <w:t>.</w:t>
      </w:r>
      <w:r>
        <w:t xml:space="preserve"> W tym celu kolejny etap kampanii wykorzystuje najważniejsze środki masowego przekazu.</w:t>
      </w:r>
    </w:p>
    <w:p w14:paraId="704CF3BC" w14:textId="77777777" w:rsidR="00131AE3" w:rsidRPr="009117C7" w:rsidRDefault="00131AE3" w:rsidP="00131AE3">
      <w:pPr>
        <w:pStyle w:val="NormalnyWeb"/>
        <w:shd w:val="clear" w:color="auto" w:fill="FFFFFF"/>
        <w:spacing w:before="0" w:beforeAutospacing="0" w:after="150" w:afterAutospacing="0" w:line="390" w:lineRule="atLeast"/>
        <w:jc w:val="both"/>
        <w:rPr>
          <w:i/>
        </w:rPr>
      </w:pPr>
      <w:r>
        <w:t>W pierwszej kolejności, b</w:t>
      </w:r>
      <w:r w:rsidRPr="001B3E75">
        <w:t>azując na posiadanym doświadczeniu</w:t>
      </w:r>
      <w:r>
        <w:t>, s</w:t>
      </w:r>
      <w:r w:rsidRPr="001B3E75">
        <w:t>tworz</w:t>
      </w:r>
      <w:r>
        <w:t>ono</w:t>
      </w:r>
      <w:r w:rsidRPr="001B3E75">
        <w:t xml:space="preserve"> dedykowaną inwestorom stronę internetową</w:t>
      </w:r>
      <w:r>
        <w:t xml:space="preserve"> w domenie</w:t>
      </w:r>
      <w:r w:rsidRPr="001B3E75">
        <w:t xml:space="preserve"> </w:t>
      </w:r>
      <w:r w:rsidRPr="00667F9A">
        <w:rPr>
          <w:i/>
        </w:rPr>
        <w:t>oczarowani.pl</w:t>
      </w:r>
      <w:r w:rsidRPr="001B3E75">
        <w:t>.</w:t>
      </w:r>
      <w:r w:rsidRPr="001B3E75">
        <w:rPr>
          <w:b/>
        </w:rPr>
        <w:t xml:space="preserve"> </w:t>
      </w:r>
      <w:r>
        <w:t>Umieszczono</w:t>
      </w:r>
      <w:r w:rsidRPr="001B3E75">
        <w:t xml:space="preserve"> na niej katalog</w:t>
      </w:r>
      <w:r>
        <w:t xml:space="preserve"> najistotniejszych </w:t>
      </w:r>
      <w:r w:rsidRPr="001B3E75">
        <w:t xml:space="preserve">wytycznych, które pomogą nieprofesjonalnym uczestnikom obrotu uzyskać </w:t>
      </w:r>
      <w:r>
        <w:t>większą</w:t>
      </w:r>
      <w:r w:rsidRPr="001B3E75">
        <w:t xml:space="preserve"> wiedzę o </w:t>
      </w:r>
      <w:r>
        <w:t xml:space="preserve">czynnikach, które należy wziąć pod uwagę w </w:t>
      </w:r>
      <w:r w:rsidRPr="001B3E75">
        <w:t xml:space="preserve">planowanej inwestycji. Strona internetowa </w:t>
      </w:r>
      <w:r w:rsidRPr="00667F9A">
        <w:rPr>
          <w:i/>
        </w:rPr>
        <w:t>oczarowani.pl</w:t>
      </w:r>
      <w:r w:rsidRPr="001B3E75">
        <w:t xml:space="preserve"> zawiera bazę wskazówek i pytań, na które należy znaleźć odpowiedź przed finalizacją </w:t>
      </w:r>
      <w:r>
        <w:t xml:space="preserve">zakupu w sferze </w:t>
      </w:r>
      <w:r w:rsidRPr="001B3E75">
        <w:t>tzw. </w:t>
      </w:r>
      <w:proofErr w:type="spellStart"/>
      <w:r w:rsidRPr="009117C7">
        <w:rPr>
          <w:rStyle w:val="Uwydatnienie"/>
          <w:i w:val="0"/>
        </w:rPr>
        <w:t>condohoteli</w:t>
      </w:r>
      <w:proofErr w:type="spellEnd"/>
      <w:r w:rsidRPr="009117C7">
        <w:rPr>
          <w:rStyle w:val="Uwydatnienie"/>
          <w:i w:val="0"/>
        </w:rPr>
        <w:t>/</w:t>
      </w:r>
      <w:proofErr w:type="spellStart"/>
      <w:r w:rsidRPr="009117C7">
        <w:rPr>
          <w:rStyle w:val="Uwydatnienie"/>
          <w:i w:val="0"/>
        </w:rPr>
        <w:t>aparthoteli</w:t>
      </w:r>
      <w:proofErr w:type="spellEnd"/>
      <w:r>
        <w:rPr>
          <w:rStyle w:val="Uwydatnienie"/>
        </w:rPr>
        <w:t xml:space="preserve">. </w:t>
      </w:r>
      <w:r w:rsidRPr="009117C7">
        <w:rPr>
          <w:rStyle w:val="Uwydatnienie"/>
          <w:i w:val="0"/>
        </w:rPr>
        <w:t>Ich syntetyczny wyciąg przygotowano również w formie jednego pliku, który może stanowić przydatny materiał do rozmowy z osobą oferującą takie inwestycje</w:t>
      </w:r>
      <w:r w:rsidRPr="009117C7">
        <w:rPr>
          <w:i/>
        </w:rPr>
        <w:t xml:space="preserve">. </w:t>
      </w:r>
    </w:p>
    <w:p w14:paraId="532F5B85" w14:textId="77777777" w:rsidR="00131AE3" w:rsidRPr="001B3E75" w:rsidRDefault="00131AE3" w:rsidP="00131AE3">
      <w:pPr>
        <w:pStyle w:val="NormalnyWeb"/>
        <w:shd w:val="clear" w:color="auto" w:fill="FFFFFF"/>
        <w:spacing w:before="0" w:beforeAutospacing="0" w:after="150" w:afterAutospacing="0" w:line="390" w:lineRule="atLeast"/>
        <w:jc w:val="both"/>
      </w:pPr>
      <w:r w:rsidRPr="001B3E75">
        <w:t>Kampanii towarzyszą</w:t>
      </w:r>
      <w:r>
        <w:t xml:space="preserve"> utrzymane w „oczarowanej” konwencji</w:t>
      </w:r>
      <w:r w:rsidRPr="001B3E75">
        <w:t xml:space="preserve"> telewizyjne i radiowe spoty informacyjne, kt</w:t>
      </w:r>
      <w:r>
        <w:t>óre od poniedziałku prezentowane będą w Telewizji Polskiej, na antenie Polsatu, w Polskim Radiu, RMF oraz Radiu Zet.</w:t>
      </w:r>
      <w:r w:rsidRPr="001B3E75">
        <w:t xml:space="preserve"> Kampania jest</w:t>
      </w:r>
      <w:r>
        <w:t xml:space="preserve"> również</w:t>
      </w:r>
      <w:r w:rsidRPr="001B3E75">
        <w:t xml:space="preserve"> obecna w mediach społecznościowych na profilach podmiotów zaangażowanych w kampanię informacyjną </w:t>
      </w:r>
      <w:r w:rsidRPr="00361891">
        <w:rPr>
          <w:i/>
        </w:rPr>
        <w:t>Oczarowani</w:t>
      </w:r>
      <w:r w:rsidRPr="001B3E75">
        <w:t>.</w:t>
      </w:r>
    </w:p>
    <w:p w14:paraId="5AD6F0A1" w14:textId="77777777" w:rsidR="00131AE3" w:rsidRPr="001B3E75" w:rsidRDefault="00131AE3" w:rsidP="00131AE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2DA3F3D" w14:textId="72344087" w:rsidR="00131AE3" w:rsidRDefault="00131AE3" w:rsidP="00131AE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Partner</w:t>
      </w:r>
      <w:r w:rsidR="00271F73">
        <w:rPr>
          <w:rFonts w:ascii="Times New Roman" w:hAnsi="Times New Roman" w:cs="Times New Roman"/>
          <w:sz w:val="24"/>
          <w:szCs w:val="24"/>
        </w:rPr>
        <w:t>zy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1F73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ampanii</w:t>
      </w:r>
      <w:r w:rsidR="00271F73">
        <w:rPr>
          <w:rFonts w:ascii="Times New Roman" w:hAnsi="Times New Roman" w:cs="Times New Roman"/>
          <w:sz w:val="24"/>
          <w:szCs w:val="24"/>
        </w:rPr>
        <w:t>:</w:t>
      </w:r>
    </w:p>
    <w:p w14:paraId="09B8A61C" w14:textId="57788439" w:rsidR="00131AE3" w:rsidRDefault="00131AE3" w:rsidP="00131AE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32B5359" w14:textId="0F0AD616" w:rsidR="00774EB5" w:rsidRPr="001B3E75" w:rsidRDefault="00774EB5" w:rsidP="00131AE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52613">
        <w:rPr>
          <w:rFonts w:ascii="Times New Roman" w:hAnsi="Times New Roman" w:cs="Times New Roman"/>
          <w:sz w:val="24"/>
          <w:szCs w:val="24"/>
        </w:rPr>
        <w:pict w14:anchorId="19AED0D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7.5pt;height:153pt">
            <v:imagedata r:id="rId6" o:title="UOKiK"/>
          </v:shape>
        </w:pi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2613">
        <w:rPr>
          <w:rFonts w:ascii="Times New Roman" w:hAnsi="Times New Roman" w:cs="Times New Roman"/>
          <w:sz w:val="24"/>
          <w:szCs w:val="24"/>
        </w:rPr>
        <w:pict w14:anchorId="443FE665">
          <v:shape id="_x0000_i1026" type="#_x0000_t75" style="width:211.5pt;height:154.5pt">
            <v:imagedata r:id="rId7" o:title="MIiR"/>
          </v:shape>
        </w:pict>
      </w:r>
    </w:p>
    <w:p w14:paraId="0BC93454" w14:textId="77777777" w:rsidR="00927877" w:rsidRDefault="00927877"/>
    <w:sectPr w:rsidR="0092787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2E2C94" w14:textId="77777777" w:rsidR="000C0D99" w:rsidRDefault="000C0D99">
      <w:pPr>
        <w:spacing w:after="0" w:line="240" w:lineRule="auto"/>
      </w:pPr>
      <w:r>
        <w:separator/>
      </w:r>
    </w:p>
  </w:endnote>
  <w:endnote w:type="continuationSeparator" w:id="0">
    <w:p w14:paraId="6344F03A" w14:textId="77777777" w:rsidR="000C0D99" w:rsidRDefault="000C0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347C15" w14:textId="77777777" w:rsidR="008F2342" w:rsidRDefault="00131AE3">
    <w:pPr>
      <w:pStyle w:val="Stopka"/>
    </w:pPr>
    <w:r w:rsidRPr="00031DB9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59264" behindDoc="1" locked="0" layoutInCell="1" allowOverlap="1" wp14:anchorId="591B2E3C" wp14:editId="02C98865">
          <wp:simplePos x="0" y="0"/>
          <wp:positionH relativeFrom="column">
            <wp:posOffset>-885711</wp:posOffset>
          </wp:positionH>
          <wp:positionV relativeFrom="paragraph">
            <wp:posOffset>-287676</wp:posOffset>
          </wp:positionV>
          <wp:extent cx="7583515" cy="956341"/>
          <wp:effectExtent l="0" t="0" r="0" b="0"/>
          <wp:wrapNone/>
          <wp:docPr id="53" name="Obraz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opka - Jacek Jastrzębki - UKNF - E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515" cy="9563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DDEA87" w14:textId="77777777" w:rsidR="000C0D99" w:rsidRDefault="000C0D99">
      <w:pPr>
        <w:spacing w:after="0" w:line="240" w:lineRule="auto"/>
      </w:pPr>
      <w:r>
        <w:separator/>
      </w:r>
    </w:p>
  </w:footnote>
  <w:footnote w:type="continuationSeparator" w:id="0">
    <w:p w14:paraId="358832A3" w14:textId="77777777" w:rsidR="000C0D99" w:rsidRDefault="000C0D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AE3"/>
    <w:rsid w:val="000B3FA3"/>
    <w:rsid w:val="000C0D99"/>
    <w:rsid w:val="00131AE3"/>
    <w:rsid w:val="00246429"/>
    <w:rsid w:val="00257D77"/>
    <w:rsid w:val="00271F73"/>
    <w:rsid w:val="002835B2"/>
    <w:rsid w:val="002B7265"/>
    <w:rsid w:val="003179FA"/>
    <w:rsid w:val="00416670"/>
    <w:rsid w:val="00420967"/>
    <w:rsid w:val="00432A19"/>
    <w:rsid w:val="00466160"/>
    <w:rsid w:val="004F7400"/>
    <w:rsid w:val="005555D0"/>
    <w:rsid w:val="0068320B"/>
    <w:rsid w:val="00697978"/>
    <w:rsid w:val="00752613"/>
    <w:rsid w:val="00757F90"/>
    <w:rsid w:val="00774EB5"/>
    <w:rsid w:val="00854D72"/>
    <w:rsid w:val="008773BB"/>
    <w:rsid w:val="00891F34"/>
    <w:rsid w:val="008C65CF"/>
    <w:rsid w:val="009117C7"/>
    <w:rsid w:val="00927877"/>
    <w:rsid w:val="009D3C1E"/>
    <w:rsid w:val="00A35393"/>
    <w:rsid w:val="00A548D6"/>
    <w:rsid w:val="00A65572"/>
    <w:rsid w:val="00BE17E1"/>
    <w:rsid w:val="00C635CF"/>
    <w:rsid w:val="00D5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22484"/>
  <w15:chartTrackingRefBased/>
  <w15:docId w15:val="{A269DF2E-F54B-460E-AB40-430121D30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1A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31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1AE3"/>
  </w:style>
  <w:style w:type="paragraph" w:styleId="NormalnyWeb">
    <w:name w:val="Normal (Web)"/>
    <w:basedOn w:val="Normalny"/>
    <w:uiPriority w:val="99"/>
    <w:unhideWhenUsed/>
    <w:rsid w:val="00131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31AE3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09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09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096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09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096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09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0967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8C65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547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Bogatko Monika</dc:creator>
  <cp:keywords/>
  <dc:description/>
  <cp:lastModifiedBy>Barszczewski Jacek</cp:lastModifiedBy>
  <cp:revision>9</cp:revision>
  <dcterms:created xsi:type="dcterms:W3CDTF">2019-11-15T11:56:00Z</dcterms:created>
  <dcterms:modified xsi:type="dcterms:W3CDTF">2019-11-15T12:26:00Z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-764542391</vt:i4>
  </property>
  <property fmtid="{D5CDD505-2E9C-101B-9397-08002B2CF9AE}" pid="4" name="_EmailSubject">
    <vt:lpwstr>Start kampanii "Oczarowani" - komunikat + materiały graficzne na www i do social mediów</vt:lpwstr>
  </property>
  <property fmtid="{D5CDD505-2E9C-101B-9397-08002B2CF9AE}" pid="5" name="_AuthorEmail">
    <vt:lpwstr>Jacek.Barszczewski@knf.gov.pl</vt:lpwstr>
  </property>
  <property fmtid="{D5CDD505-2E9C-101B-9397-08002B2CF9AE}" pid="6" name="_AuthorEmailDisplayName">
    <vt:lpwstr>Barszczewski Jacek</vt:lpwstr>
  </property>
</Properties>
</file>